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100" w:after="90" w:line="560" w:lineRule="exact"/>
        <w:jc w:val="center"/>
        <w:textAlignment w:val="auto"/>
        <w:rPr>
          <w:rFonts w:hint="eastAsia" w:ascii="宋体" w:hAnsi="宋体" w:eastAsia="华文中宋"/>
          <w:color w:val="auto"/>
          <w:sz w:val="24"/>
          <w:szCs w:val="24"/>
          <w:highlight w:val="none"/>
          <w:lang w:eastAsia="zh-CN"/>
        </w:rPr>
      </w:pPr>
      <w:bookmarkStart w:id="0" w:name="_Toc491341156"/>
      <w:bookmarkStart w:id="1" w:name="_Toc27840477"/>
      <w:bookmarkStart w:id="2" w:name="_Toc30476634"/>
      <w:r>
        <w:rPr>
          <w:rFonts w:hint="eastAsia" w:ascii="华文中宋" w:hAnsi="华文中宋" w:eastAsia="华文中宋"/>
          <w:color w:val="auto"/>
          <w:sz w:val="36"/>
          <w:szCs w:val="36"/>
          <w:highlight w:val="none"/>
          <w:lang w:eastAsia="zh-CN"/>
        </w:rPr>
        <w:t>采购需求（</w:t>
      </w:r>
      <w:r>
        <w:rPr>
          <w:rFonts w:hint="eastAsia" w:ascii="华文中宋" w:hAnsi="华文中宋" w:eastAsia="华文中宋"/>
          <w:color w:val="auto"/>
          <w:sz w:val="36"/>
          <w:szCs w:val="36"/>
          <w:highlight w:val="none"/>
          <w:lang w:val="en-US" w:eastAsia="zh-CN"/>
        </w:rPr>
        <w:t>施工监理类</w:t>
      </w:r>
      <w:r>
        <w:rPr>
          <w:rFonts w:hint="eastAsia" w:ascii="华文中宋" w:hAnsi="华文中宋" w:eastAsia="华文中宋"/>
          <w:color w:val="auto"/>
          <w:sz w:val="36"/>
          <w:szCs w:val="36"/>
          <w:highlight w:val="none"/>
          <w:lang w:eastAsia="zh-CN"/>
        </w:rPr>
        <w:t>）</w:t>
      </w:r>
    </w:p>
    <w:bookmarkEnd w:id="0"/>
    <w:bookmarkEnd w:id="1"/>
    <w:bookmarkEnd w:id="2"/>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1054" w:hanging="1054" w:hangingChars="500"/>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》中凡标有“★”条款为实质性条款，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必须完全</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这些要求，若有一项未</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或不满足，评标委员会将对其投标文件作无效投标处理。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采购需求</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rPr>
        <w:t>凡标注有“▲”号参数为重要条款，</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需要逐条</w:t>
      </w:r>
      <w:r>
        <w:rPr>
          <w:rFonts w:hint="eastAsia" w:ascii="宋体" w:hAnsi="宋体" w:eastAsia="宋体" w:cs="宋体"/>
          <w:b w:val="0"/>
          <w:bCs w:val="0"/>
          <w:color w:val="auto"/>
          <w:sz w:val="21"/>
          <w:szCs w:val="21"/>
          <w:highlight w:val="none"/>
          <w:lang w:val="en-US" w:eastAsia="zh-CN"/>
        </w:rPr>
        <w:t>响应</w:t>
      </w:r>
      <w:r>
        <w:rPr>
          <w:rFonts w:hint="eastAsia" w:ascii="宋体" w:hAnsi="宋体" w:eastAsia="宋体" w:cs="宋体"/>
          <w:b w:val="0"/>
          <w:bCs w:val="0"/>
          <w:color w:val="auto"/>
          <w:sz w:val="21"/>
          <w:szCs w:val="21"/>
          <w:highlight w:val="none"/>
        </w:rPr>
        <w:t>，如不满足要求将可能影响评分。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一、项目概况</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项目名称：</w:t>
      </w:r>
      <w:r>
        <w:rPr>
          <w:rFonts w:hint="eastAsia" w:ascii="宋体" w:hAnsi="宋体" w:cs="宋体"/>
          <w:sz w:val="21"/>
          <w:szCs w:val="21"/>
          <w:highlight w:val="none"/>
          <w:lang w:val="en-US" w:eastAsia="zh-CN"/>
        </w:rPr>
        <w:t>乐昌监狱罪犯伙房小院修缮工程施工监理采购</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color w:val="000000"/>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预算金额</w:t>
      </w:r>
      <w:r>
        <w:rPr>
          <w:rFonts w:hint="eastAsia" w:ascii="宋体" w:hAnsi="宋体" w:eastAsia="宋体" w:cs="宋体"/>
          <w:color w:val="000000"/>
          <w:sz w:val="21"/>
          <w:szCs w:val="21"/>
          <w:highlight w:val="none"/>
        </w:rPr>
        <w:t>：</w:t>
      </w:r>
      <w:r>
        <w:rPr>
          <w:rFonts w:hint="eastAsia" w:ascii="宋体" w:hAnsi="宋体" w:cs="宋体"/>
          <w:sz w:val="21"/>
          <w:szCs w:val="21"/>
          <w:highlight w:val="none"/>
          <w:lang w:val="en-US" w:eastAsia="zh-CN"/>
        </w:rPr>
        <w:t>44394.63</w:t>
      </w:r>
      <w:r>
        <w:rPr>
          <w:rFonts w:hint="eastAsia" w:ascii="宋体" w:hAnsi="宋体" w:eastAsia="宋体" w:cs="宋体"/>
          <w:color w:val="000000"/>
          <w:sz w:val="21"/>
          <w:szCs w:val="21"/>
          <w:highlight w:val="none"/>
        </w:rPr>
        <w:t>元</w:t>
      </w:r>
    </w:p>
    <w:p>
      <w:pPr>
        <w:keepNext w:val="0"/>
        <w:keepLines w:val="0"/>
        <w:pageBreakBefore w:val="0"/>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采购需求：（</w:t>
      </w:r>
      <w:r>
        <w:rPr>
          <w:rFonts w:hint="eastAsia" w:ascii="宋体" w:hAnsi="宋体" w:eastAsia="宋体" w:cs="宋体"/>
          <w:i/>
          <w:iCs/>
          <w:sz w:val="21"/>
          <w:szCs w:val="21"/>
          <w:highlight w:val="none"/>
          <w:u w:val="single"/>
        </w:rPr>
        <w:t>包括但不限于标的的名称、数量、简要技术需求或服务要求等</w:t>
      </w:r>
      <w:r>
        <w:rPr>
          <w:rFonts w:hint="eastAsia" w:ascii="宋体" w:hAnsi="宋体" w:eastAsia="宋体" w:cs="宋体"/>
          <w:sz w:val="21"/>
          <w:szCs w:val="21"/>
          <w:highlight w:val="none"/>
        </w:rPr>
        <w:t>）</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0"/>
        <w:gridCol w:w="757"/>
        <w:gridCol w:w="25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8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hAnsi="宋体" w:eastAsia="宋体"/>
                <w:b/>
                <w:bCs/>
                <w:sz w:val="21"/>
                <w:szCs w:val="21"/>
                <w:highlight w:val="none"/>
                <w:lang w:val="en-US" w:eastAsia="zh-CN"/>
              </w:rPr>
            </w:pPr>
            <w:r>
              <w:rPr>
                <w:rFonts w:hint="eastAsia" w:hAnsi="宋体"/>
                <w:b/>
                <w:bCs/>
                <w:sz w:val="21"/>
                <w:szCs w:val="21"/>
                <w:highlight w:val="none"/>
                <w:lang w:val="en-US" w:eastAsia="zh-CN"/>
              </w:rPr>
              <w:t>序号</w:t>
            </w:r>
          </w:p>
        </w:tc>
        <w:tc>
          <w:tcPr>
            <w:tcW w:w="2310"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采购内容</w:t>
            </w:r>
          </w:p>
        </w:tc>
        <w:tc>
          <w:tcPr>
            <w:tcW w:w="757"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Ansi="宋体"/>
                <w:b/>
                <w:bCs/>
                <w:sz w:val="21"/>
                <w:szCs w:val="21"/>
                <w:highlight w:val="none"/>
              </w:rPr>
            </w:pPr>
            <w:r>
              <w:rPr>
                <w:rFonts w:hint="eastAsia" w:hAnsi="宋体"/>
                <w:b/>
                <w:bCs/>
                <w:sz w:val="21"/>
                <w:szCs w:val="21"/>
                <w:highlight w:val="none"/>
              </w:rPr>
              <w:t>数量</w:t>
            </w:r>
          </w:p>
        </w:tc>
        <w:tc>
          <w:tcPr>
            <w:tcW w:w="2547" w:type="dxa"/>
            <w:shd w:val="clear" w:color="auto" w:fill="EEECE1"/>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hAnsi="宋体"/>
                <w:b/>
                <w:bCs/>
                <w:color w:val="auto"/>
                <w:sz w:val="21"/>
                <w:szCs w:val="21"/>
                <w:highlight w:val="none"/>
                <w:lang w:val="en-US" w:eastAsia="zh-CN"/>
              </w:rPr>
            </w:pPr>
            <w:r>
              <w:rPr>
                <w:rFonts w:hint="eastAsia" w:hAnsi="宋体" w:cs="宋体"/>
                <w:b/>
                <w:bCs/>
                <w:color w:val="auto"/>
                <w:sz w:val="21"/>
                <w:szCs w:val="21"/>
                <w:highlight w:val="none"/>
                <w:lang w:bidi="ar"/>
              </w:rPr>
              <w:t>技术规格、参数及要求</w:t>
            </w:r>
          </w:p>
        </w:tc>
        <w:tc>
          <w:tcPr>
            <w:tcW w:w="2225" w:type="dxa"/>
            <w:shd w:val="clear" w:color="auto" w:fill="EEECE1"/>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default" w:hAnsi="宋体" w:eastAsia="宋体"/>
                <w:b/>
                <w:bCs/>
                <w:color w:val="auto"/>
                <w:sz w:val="21"/>
                <w:szCs w:val="21"/>
                <w:highlight w:val="none"/>
                <w:lang w:val="en-US" w:eastAsia="zh-CN"/>
              </w:rPr>
            </w:pPr>
            <w:r>
              <w:rPr>
                <w:rFonts w:hint="eastAsia" w:hAnsi="宋体"/>
                <w:b/>
                <w:bCs/>
                <w:color w:val="auto"/>
                <w:sz w:val="21"/>
                <w:szCs w:val="21"/>
                <w:highlight w:val="no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8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310"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乐昌监狱罪犯伙房小院修缮工程施工监理采购</w:t>
            </w:r>
          </w:p>
        </w:tc>
        <w:tc>
          <w:tcPr>
            <w:tcW w:w="757" w:type="dxa"/>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项</w:t>
            </w:r>
          </w:p>
        </w:tc>
        <w:tc>
          <w:tcPr>
            <w:tcW w:w="254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outlineLvl w:val="9"/>
              <w:rPr>
                <w:rFonts w:hint="eastAsia" w:ascii="宋体" w:hAnsi="宋体" w:eastAsia="宋体" w:cs="宋体"/>
                <w:highlight w:val="none"/>
                <w:lang w:val="en-US" w:eastAsia="zh-CN"/>
              </w:rPr>
            </w:pPr>
            <w:r>
              <w:rPr>
                <w:rFonts w:hint="eastAsia" w:ascii="宋体" w:hAnsi="宋体" w:eastAsia="宋体" w:cs="宋体"/>
                <w:sz w:val="21"/>
                <w:szCs w:val="21"/>
                <w:highlight w:val="none"/>
                <w:lang w:bidi="ar"/>
              </w:rPr>
              <w:t>详见</w:t>
            </w:r>
            <w:r>
              <w:rPr>
                <w:rFonts w:hint="eastAsia" w:ascii="宋体" w:hAnsi="宋体" w:eastAsia="宋体" w:cs="宋体"/>
                <w:sz w:val="21"/>
                <w:szCs w:val="21"/>
                <w:highlight w:val="none"/>
                <w:lang w:val="en-US" w:eastAsia="zh-CN" w:bidi="ar"/>
              </w:rPr>
              <w:t>采购需求“技术要求”</w:t>
            </w:r>
          </w:p>
        </w:tc>
        <w:tc>
          <w:tcPr>
            <w:tcW w:w="2225" w:type="dxa"/>
            <w:vAlign w:val="center"/>
          </w:tcPr>
          <w:p>
            <w:pPr>
              <w:pStyle w:val="8"/>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default" w:ascii="宋体" w:hAnsi="宋体" w:eastAsia="宋体" w:cs="宋体"/>
                <w:highlight w:val="none"/>
                <w:lang w:val="en-US" w:eastAsia="zh-CN"/>
              </w:rPr>
            </w:pPr>
            <w:r>
              <w:rPr>
                <w:rFonts w:hint="default" w:ascii="宋体" w:hAnsi="宋体" w:eastAsia="宋体" w:cs="宋体"/>
                <w:highlight w:val="none"/>
                <w:lang w:val="en-US" w:eastAsia="zh-CN"/>
              </w:rPr>
              <w:t>中选后15天内签订合同，本合同期限为从工程报建至工程结算审定为止。</w:t>
            </w:r>
          </w:p>
        </w:tc>
      </w:tr>
    </w:tbl>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left="421" w:leftChars="0"/>
        <w:textAlignment w:val="baseline"/>
        <w:outlineLvl w:val="9"/>
        <w:rPr>
          <w:rFonts w:hint="default"/>
          <w:lang w:val="en-US" w:eastAsia="zh-CN"/>
        </w:rPr>
      </w:pPr>
      <w:r>
        <w:rPr>
          <w:rFonts w:hint="eastAsia" w:ascii="宋体" w:hAnsi="宋体" w:cs="宋体"/>
          <w:sz w:val="21"/>
          <w:szCs w:val="21"/>
          <w:highlight w:val="none"/>
          <w:lang w:val="en-US" w:eastAsia="zh-CN"/>
        </w:rPr>
        <w:t>6.施工监理内容：</w:t>
      </w:r>
    </w:p>
    <w:p>
      <w:pPr>
        <w:keepNext w:val="0"/>
        <w:keepLines w:val="0"/>
        <w:pageBreakBefore w:val="0"/>
        <w:numPr>
          <w:ilvl w:val="0"/>
          <w:numId w:val="0"/>
        </w:numPr>
        <w:tabs>
          <w:tab w:val="left" w:pos="425"/>
        </w:tabs>
        <w:kinsoku/>
        <w:wordWrap/>
        <w:overflowPunct/>
        <w:topLinePunct w:val="0"/>
        <w:autoSpaceDE/>
        <w:autoSpaceDN/>
        <w:bidi w:val="0"/>
        <w:adjustRightInd/>
        <w:snapToGrid/>
        <w:spacing w:line="560" w:lineRule="exact"/>
        <w:ind w:firstLine="420" w:firstLineChars="200"/>
        <w:textAlignment w:val="baseline"/>
        <w:outlineLvl w:val="9"/>
        <w:rPr>
          <w:rStyle w:val="12"/>
          <w:rFonts w:ascii="宋体" w:hAnsi="宋体" w:cs="宋体"/>
          <w:b/>
          <w:bCs/>
          <w:color w:val="000000"/>
          <w:szCs w:val="21"/>
          <w:highlight w:val="none"/>
          <w:lang w:val="zh-CN"/>
        </w:rPr>
      </w:pPr>
      <w:r>
        <w:rPr>
          <w:rFonts w:hint="eastAsia" w:ascii="宋体" w:hAnsi="宋体" w:cs="宋体"/>
          <w:sz w:val="21"/>
          <w:szCs w:val="21"/>
          <w:highlight w:val="none"/>
          <w:lang w:val="en-US" w:eastAsia="zh-CN"/>
        </w:rPr>
        <w:t>乐昌监狱罪犯伙房小院修缮项目</w:t>
      </w:r>
      <w:r>
        <w:rPr>
          <w:rFonts w:hint="eastAsia"/>
          <w:lang w:val="en-US" w:eastAsia="zh-CN"/>
        </w:rPr>
        <w:t>总投资预算为189.91万元，工程预算为166.60万元。</w:t>
      </w:r>
      <w:r>
        <w:rPr>
          <w:rFonts w:hint="default"/>
          <w:lang w:val="en-US" w:eastAsia="zh-CN"/>
        </w:rPr>
        <w:t>工程主要施工内容：平整周边场地、修补破损路面、原有雨棚翻新、小院场地扩建、新增成品板房、改建污废水管道及雨水管道及用电设备线路等（详见工程量清单）。</w:t>
      </w:r>
    </w:p>
    <w:p>
      <w:pPr>
        <w:keepNext w:val="0"/>
        <w:keepLines w:val="0"/>
        <w:pageBreakBefore w:val="0"/>
        <w:tabs>
          <w:tab w:val="left" w:pos="425"/>
        </w:tabs>
        <w:kinsoku/>
        <w:wordWrap/>
        <w:overflowPunct/>
        <w:topLinePunct w:val="0"/>
        <w:autoSpaceDE/>
        <w:autoSpaceDN/>
        <w:bidi w:val="0"/>
        <w:adjustRightInd/>
        <w:snapToGrid/>
        <w:spacing w:line="560" w:lineRule="exact"/>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注：1．报价超出预算金额的列为无效报价处理。</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2．</w:t>
      </w:r>
      <w:r>
        <w:rPr>
          <w:rStyle w:val="12"/>
          <w:rFonts w:hint="eastAsia" w:ascii="宋体" w:hAnsi="宋体" w:cs="宋体"/>
          <w:b/>
          <w:bCs/>
          <w:color w:val="000000"/>
          <w:szCs w:val="21"/>
          <w:highlight w:val="none"/>
          <w:lang w:val="zh-CN"/>
        </w:rPr>
        <w:t>供应商</w:t>
      </w:r>
      <w:r>
        <w:rPr>
          <w:rStyle w:val="12"/>
          <w:rFonts w:ascii="宋体" w:hAnsi="宋体" w:cs="宋体"/>
          <w:b/>
          <w:bCs/>
          <w:color w:val="000000"/>
          <w:szCs w:val="21"/>
          <w:highlight w:val="none"/>
          <w:lang w:val="zh-CN"/>
        </w:rPr>
        <w:t>必须对本项目的全部内容进行报价，如有缺漏，将导致报价无效。</w:t>
      </w:r>
    </w:p>
    <w:p>
      <w:pPr>
        <w:keepNext w:val="0"/>
        <w:keepLines w:val="0"/>
        <w:pageBreakBefore w:val="0"/>
        <w:tabs>
          <w:tab w:val="left" w:pos="425"/>
        </w:tabs>
        <w:kinsoku/>
        <w:wordWrap/>
        <w:overflowPunct/>
        <w:topLinePunct w:val="0"/>
        <w:autoSpaceDE/>
        <w:autoSpaceDN/>
        <w:bidi w:val="0"/>
        <w:adjustRightInd/>
        <w:snapToGrid/>
        <w:spacing w:line="560" w:lineRule="exact"/>
        <w:ind w:firstLine="422" w:firstLineChars="200"/>
        <w:textAlignment w:val="baseline"/>
        <w:outlineLvl w:val="9"/>
        <w:rPr>
          <w:rStyle w:val="12"/>
          <w:rFonts w:ascii="宋体" w:hAnsi="宋体" w:cs="宋体"/>
          <w:b/>
          <w:bCs/>
          <w:color w:val="000000"/>
          <w:szCs w:val="21"/>
          <w:highlight w:val="none"/>
          <w:lang w:val="zh-CN"/>
        </w:rPr>
      </w:pPr>
      <w:r>
        <w:rPr>
          <w:rStyle w:val="12"/>
          <w:rFonts w:ascii="宋体" w:hAnsi="宋体" w:cs="宋体"/>
          <w:b/>
          <w:bCs/>
          <w:color w:val="000000"/>
          <w:szCs w:val="21"/>
          <w:highlight w:val="none"/>
          <w:lang w:val="zh-CN"/>
        </w:rPr>
        <w:t>3．报价应为人民币含税全包价，包括</w:t>
      </w:r>
      <w:r>
        <w:rPr>
          <w:rStyle w:val="12"/>
          <w:rFonts w:ascii="宋体" w:hAnsi="宋体" w:cs="宋体"/>
          <w:b/>
          <w:bCs/>
          <w:color w:val="000000"/>
          <w:szCs w:val="21"/>
          <w:highlight w:val="none"/>
        </w:rPr>
        <w:t>人工费、税金、</w:t>
      </w:r>
      <w:r>
        <w:rPr>
          <w:rStyle w:val="12"/>
          <w:rFonts w:ascii="宋体" w:hAnsi="宋体" w:cs="宋体"/>
          <w:b/>
          <w:bCs/>
          <w:color w:val="000000"/>
          <w:szCs w:val="21"/>
          <w:highlight w:val="none"/>
          <w:lang w:val="zh-CN"/>
        </w:rPr>
        <w:t>验收和履约过程可预见或不可预见的一切费用。</w:t>
      </w:r>
    </w:p>
    <w:p>
      <w:pPr>
        <w:pStyle w:val="13"/>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eastAsia="宋体" w:cs="宋体"/>
          <w:b/>
          <w:bCs/>
          <w:color w:val="000000"/>
          <w:kern w:val="2"/>
          <w:sz w:val="21"/>
          <w:szCs w:val="21"/>
          <w:highlight w:val="none"/>
          <w:lang w:val="zh-CN"/>
        </w:rPr>
      </w:pPr>
      <w:r>
        <w:rPr>
          <w:rStyle w:val="12"/>
          <w:rFonts w:eastAsia="宋体" w:cs="宋体"/>
          <w:b/>
          <w:bCs/>
          <w:color w:val="000000"/>
          <w:kern w:val="2"/>
          <w:sz w:val="21"/>
          <w:szCs w:val="21"/>
          <w:highlight w:val="none"/>
          <w:lang w:val="zh-CN"/>
        </w:rPr>
        <w:t>4. 本项目为一个整体，</w:t>
      </w:r>
      <w:r>
        <w:rPr>
          <w:rStyle w:val="12"/>
          <w:rFonts w:hint="eastAsia" w:eastAsia="宋体" w:cs="宋体"/>
          <w:b/>
          <w:bCs/>
          <w:color w:val="000000"/>
          <w:kern w:val="2"/>
          <w:sz w:val="21"/>
          <w:szCs w:val="21"/>
          <w:highlight w:val="none"/>
          <w:lang w:val="zh-CN"/>
        </w:rPr>
        <w:t>供应商</w:t>
      </w:r>
      <w:r>
        <w:rPr>
          <w:rStyle w:val="12"/>
          <w:rFonts w:eastAsia="宋体" w:cs="宋体"/>
          <w:b/>
          <w:bCs/>
          <w:color w:val="000000"/>
          <w:kern w:val="2"/>
          <w:sz w:val="21"/>
          <w:szCs w:val="21"/>
          <w:highlight w:val="none"/>
          <w:lang w:val="zh-CN"/>
        </w:rPr>
        <w:t>须对全部内容进行报价，不得分拆</w:t>
      </w:r>
      <w:r>
        <w:rPr>
          <w:rStyle w:val="12"/>
          <w:rFonts w:hint="eastAsia" w:eastAsia="宋体" w:cs="宋体"/>
          <w:b/>
          <w:bCs/>
          <w:color w:val="000000"/>
          <w:kern w:val="2"/>
          <w:sz w:val="21"/>
          <w:szCs w:val="21"/>
          <w:highlight w:val="none"/>
          <w:lang w:val="zh-CN"/>
        </w:rPr>
        <w:t>报价</w:t>
      </w:r>
      <w:r>
        <w:rPr>
          <w:rStyle w:val="12"/>
          <w:rFonts w:eastAsia="宋体" w:cs="宋体"/>
          <w:b/>
          <w:bCs/>
          <w:color w:val="000000"/>
          <w:kern w:val="2"/>
          <w:sz w:val="21"/>
          <w:szCs w:val="21"/>
          <w:highlight w:val="none"/>
          <w:lang w:val="zh-CN"/>
        </w:rPr>
        <w:t>。</w:t>
      </w:r>
    </w:p>
    <w:p>
      <w:pPr>
        <w:pStyle w:val="15"/>
        <w:keepNext w:val="0"/>
        <w:keepLines w:val="0"/>
        <w:pageBreakBefore w:val="0"/>
        <w:kinsoku/>
        <w:wordWrap/>
        <w:overflowPunct/>
        <w:topLinePunct w:val="0"/>
        <w:autoSpaceDE/>
        <w:autoSpaceDN/>
        <w:bidi w:val="0"/>
        <w:adjustRightInd/>
        <w:snapToGrid/>
        <w:spacing w:line="560" w:lineRule="exact"/>
        <w:ind w:firstLine="422" w:firstLineChars="200"/>
        <w:outlineLvl w:val="9"/>
        <w:rPr>
          <w:rStyle w:val="12"/>
          <w:rFonts w:ascii="宋体" w:hAnsi="宋体" w:eastAsia="宋体" w:cs="宋体"/>
          <w:b/>
          <w:bCs/>
          <w:color w:val="000000"/>
          <w:kern w:val="2"/>
          <w:sz w:val="21"/>
          <w:szCs w:val="21"/>
          <w:highlight w:val="none"/>
          <w:lang w:val="zh-CN" w:eastAsia="zh-CN" w:bidi="ar-SA"/>
        </w:rPr>
      </w:pPr>
      <w:r>
        <w:rPr>
          <w:rStyle w:val="12"/>
          <w:rFonts w:hint="eastAsia" w:ascii="宋体" w:hAnsi="宋体" w:eastAsia="宋体" w:cs="宋体"/>
          <w:b/>
          <w:bCs/>
          <w:color w:val="000000"/>
          <w:kern w:val="2"/>
          <w:sz w:val="21"/>
          <w:szCs w:val="21"/>
          <w:highlight w:val="none"/>
          <w:lang w:val="en-US" w:eastAsia="zh-CN" w:bidi="ar-SA"/>
        </w:rPr>
        <w:t>5</w:t>
      </w:r>
      <w:r>
        <w:rPr>
          <w:rStyle w:val="12"/>
          <w:rFonts w:hint="eastAsia" w:ascii="宋体" w:hAnsi="宋体" w:eastAsia="宋体" w:cs="宋体"/>
          <w:b/>
          <w:bCs/>
          <w:color w:val="000000"/>
          <w:kern w:val="2"/>
          <w:sz w:val="21"/>
          <w:szCs w:val="21"/>
          <w:highlight w:val="none"/>
          <w:lang w:val="zh-CN" w:eastAsia="zh-CN" w:bidi="ar-SA"/>
        </w:rPr>
        <w:t>.本项目不接受联合体响应。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二、供应商资质要求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（五）参加本采购活动前三年内，在经营活动中没有重大违法记录；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20" w:firstLineChars="200"/>
        <w:jc w:val="both"/>
        <w:outlineLvl w:val="9"/>
        <w:rPr>
          <w:rFonts w:hint="default"/>
          <w:u w:val="none"/>
          <w:lang w:val="en-US" w:eastAsia="zh-CN"/>
        </w:rPr>
      </w:pPr>
      <w:r>
        <w:rPr>
          <w:rFonts w:hint="eastAsia" w:ascii="宋体" w:hAnsi="宋体" w:eastAsia="宋体" w:cs="宋体"/>
          <w:szCs w:val="21"/>
          <w:highlight w:val="none"/>
          <w:u w:val="none"/>
          <w:lang w:val="en-US" w:eastAsia="zh-CN"/>
        </w:rPr>
        <w:t>（七）其他要求</w:t>
      </w:r>
      <w:r>
        <w:rPr>
          <w:rFonts w:hint="eastAsia" w:ascii="宋体" w:hAnsi="宋体" w:cs="宋体"/>
          <w:szCs w:val="21"/>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已在中国境内注册，在法律上，财务上独立，合法运作的独立法人，且经营范围满足本次公开选取范围；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jc w:val="both"/>
        <w:outlineLvl w:val="9"/>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报名参加本次采购服务的公司必须取得国家有关部门核发的</w:t>
      </w:r>
      <w:r>
        <w:rPr>
          <w:rFonts w:hint="eastAsia" w:ascii="宋体" w:hAnsi="宋体" w:eastAsia="宋体" w:cs="宋体"/>
          <w:b/>
          <w:bCs/>
          <w:szCs w:val="21"/>
          <w:highlight w:val="none"/>
          <w:lang w:val="en-US" w:eastAsia="zh-CN"/>
        </w:rPr>
        <w:t>房屋建筑工程监理丙级及以上</w:t>
      </w:r>
      <w:r>
        <w:rPr>
          <w:rFonts w:hint="eastAsia" w:ascii="宋体" w:hAnsi="宋体" w:eastAsia="宋体" w:cs="宋体"/>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三、技术要求</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kern w:val="2"/>
          <w:sz w:val="21"/>
          <w:szCs w:val="21"/>
          <w:highlight w:val="none"/>
          <w:lang w:val="en-US" w:eastAsia="zh-CN" w:bidi="ar-SA"/>
        </w:rPr>
        <w:t>服务</w:t>
      </w:r>
      <w:r>
        <w:rPr>
          <w:rFonts w:hint="eastAsia" w:ascii="宋体" w:hAnsi="宋体" w:eastAsia="宋体" w:cs="宋体"/>
          <w:b/>
          <w:bCs/>
          <w:kern w:val="2"/>
          <w:sz w:val="21"/>
          <w:szCs w:val="21"/>
          <w:highlight w:val="none"/>
          <w:lang w:val="en-US" w:eastAsia="zh-CN" w:bidi="ar-SA"/>
        </w:rPr>
        <w:t>范围</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根据施工图纸、清单内容代表甲方参与项目直接管理。包括但不限于：工程质量控制、进度控制、投资控制和协调施工现场等。</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(二)服务</w:t>
      </w:r>
      <w:r>
        <w:rPr>
          <w:rFonts w:hint="eastAsia" w:ascii="宋体" w:hAnsi="宋体" w:eastAsia="宋体" w:cs="宋体"/>
          <w:b/>
          <w:bCs/>
          <w:kern w:val="2"/>
          <w:sz w:val="21"/>
          <w:szCs w:val="21"/>
          <w:highlight w:val="none"/>
          <w:lang w:val="en-US" w:eastAsia="zh-CN" w:bidi="ar-SA"/>
        </w:rPr>
        <w:t>要求</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1.中选单位在收到中选确认书后，在10个工作日内组织开展工作，不得以任何理由拖延开展工作时间，否则一概视为自动放弃中选资格；</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中选人在接到选取人的通知后，必须安排项目负责人在2个工作日内到选取人办公地点领取“公开选取中介机构确认书或项目相关资料”，领取时须提供项目负责人负责该项目的授权委托书、身份证以及资料的复印件。</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3.合同期内如发生人身安全及其他事故，一切责任和经济补偿均由中选单位负责。</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4.本项目的服务不得由无相关资质的分支机构负责。</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5.中选单位需主动接受选取人的指导、检查监督以及协调。</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（三）服务</w:t>
      </w:r>
      <w:r>
        <w:rPr>
          <w:rFonts w:hint="eastAsia" w:ascii="宋体" w:hAnsi="宋体" w:eastAsia="宋体" w:cs="宋体"/>
          <w:b/>
          <w:bCs/>
          <w:kern w:val="2"/>
          <w:sz w:val="21"/>
          <w:szCs w:val="21"/>
          <w:highlight w:val="none"/>
          <w:lang w:val="en-US" w:eastAsia="zh-CN" w:bidi="ar-SA"/>
        </w:rPr>
        <w:t>人员要求</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执业人员至少配两名，一名为总监理工程师，一名为现场监理员。</w:t>
      </w:r>
    </w:p>
    <w:p>
      <w:pPr>
        <w:pStyle w:val="4"/>
        <w:keepNext w:val="0"/>
        <w:keepLines w:val="0"/>
        <w:pageBreakBefore w:val="0"/>
        <w:numPr>
          <w:ilvl w:val="0"/>
          <w:numId w:val="1"/>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考核办法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需报名的中介服务机构，务必按照本需求书的有关要求，做好计划安排，准备好相关材料，存在以下行为的，选取人有权取消中选人资格并记入不良信用记录。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1.成交供应商</w:t>
      </w:r>
      <w:r>
        <w:rPr>
          <w:rFonts w:hint="eastAsia" w:ascii="宋体" w:hAnsi="宋体" w:eastAsia="宋体" w:cs="宋体"/>
          <w:kern w:val="2"/>
          <w:sz w:val="21"/>
          <w:szCs w:val="21"/>
          <w:highlight w:val="none"/>
          <w:lang w:val="en-US" w:eastAsia="zh-CN" w:bidi="ar-SA"/>
        </w:rPr>
        <w:t>擅自放弃中选结果；中选中介服务机构存在以下行为的，选取人有权取消中选人资格并记入不良信用记录。</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中选后以任何理由提高服务收费或变相要求业主单位增加服务费用的；</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3.成交供应商</w:t>
      </w:r>
      <w:r>
        <w:rPr>
          <w:rFonts w:hint="eastAsia" w:ascii="宋体" w:hAnsi="宋体" w:eastAsia="宋体" w:cs="宋体"/>
          <w:kern w:val="2"/>
          <w:sz w:val="21"/>
          <w:szCs w:val="21"/>
          <w:highlight w:val="none"/>
          <w:lang w:val="en-US" w:eastAsia="zh-CN" w:bidi="ar-SA"/>
        </w:rPr>
        <w:t>自合同签订之日起，未能按公告要求的服务时间完成服务的；</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4.成交供应商</w:t>
      </w:r>
      <w:r>
        <w:rPr>
          <w:rFonts w:hint="eastAsia" w:ascii="宋体" w:hAnsi="宋体" w:eastAsia="宋体" w:cs="宋体"/>
          <w:kern w:val="2"/>
          <w:sz w:val="21"/>
          <w:szCs w:val="21"/>
          <w:highlight w:val="none"/>
          <w:lang w:val="en-US" w:eastAsia="zh-CN" w:bidi="ar-SA"/>
        </w:rPr>
        <w:t>未按从业规范提供服务，服务质量不达标。</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宋体" w:hAnsi="宋体" w:eastAsia="宋体" w:cs="宋体"/>
          <w:b w:val="0"/>
          <w:bCs w:val="0"/>
          <w:kern w:val="2"/>
          <w:sz w:val="21"/>
          <w:szCs w:val="21"/>
          <w:highlight w:val="none"/>
          <w:lang w:val="en-US" w:eastAsia="zh-CN" w:bidi="ar-SA"/>
        </w:rPr>
      </w:pPr>
      <w:r>
        <w:rPr>
          <w:rFonts w:hint="eastAsia" w:ascii="黑体" w:hAnsi="黑体" w:eastAsia="黑体" w:cs="黑体"/>
          <w:b w:val="0"/>
          <w:bCs/>
          <w:color w:val="auto"/>
          <w:kern w:val="2"/>
          <w:sz w:val="28"/>
          <w:szCs w:val="28"/>
          <w:highlight w:val="none"/>
          <w:lang w:val="en-US" w:eastAsia="zh-CN" w:bidi="ar-SA"/>
        </w:rPr>
        <w:t>四、商务要求</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（一）合同履行期限、服务地点：</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合同履行期限：中选后15天内签订合同，本合同期限为从工程报建至工程结算审定为止。</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0" w:firstLineChars="2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服务地点：</w:t>
      </w:r>
      <w:r>
        <w:rPr>
          <w:rFonts w:hint="eastAsia" w:ascii="宋体" w:hAnsi="宋体"/>
          <w:color w:val="auto"/>
          <w:sz w:val="21"/>
          <w:szCs w:val="21"/>
          <w:highlight w:val="none"/>
          <w:lang w:val="en-US" w:eastAsia="zh-CN"/>
        </w:rPr>
        <w:t>广东省乐昌市人民北路</w:t>
      </w:r>
      <w:ins w:id="0" w:author="唐娅妮" w:date="2024-04-10T17:31:57Z">
        <w:r>
          <w:rPr>
            <w:rFonts w:hint="eastAsia" w:ascii="宋体" w:hAnsi="宋体"/>
            <w:color w:val="auto"/>
            <w:sz w:val="21"/>
            <w:szCs w:val="21"/>
            <w:highlight w:val="none"/>
            <w:lang w:val="en-US" w:eastAsia="zh-CN"/>
          </w:rPr>
          <w:t>55</w:t>
        </w:r>
      </w:ins>
      <w:r>
        <w:rPr>
          <w:rFonts w:hint="eastAsia" w:ascii="宋体" w:hAnsi="宋体"/>
          <w:color w:val="auto"/>
          <w:sz w:val="21"/>
          <w:szCs w:val="21"/>
          <w:highlight w:val="none"/>
          <w:lang w:val="en-US" w:eastAsia="zh-CN"/>
        </w:rPr>
        <w:t>号</w:t>
      </w:r>
    </w:p>
    <w:p>
      <w:pPr>
        <w:pStyle w:val="2"/>
        <w:pageBreakBefore w:val="0"/>
        <w:numPr>
          <w:ilvl w:val="0"/>
          <w:numId w:val="2"/>
        </w:numPr>
        <w:kinsoku/>
        <w:overflowPunct/>
        <w:topLinePunct w:val="0"/>
        <w:bidi w:val="0"/>
        <w:adjustRightInd/>
        <w:snapToGrid/>
        <w:spacing w:line="560" w:lineRule="exact"/>
        <w:ind w:firstLine="422"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验收要求：</w:t>
      </w:r>
      <w:r>
        <w:rPr>
          <w:rFonts w:hint="eastAsia" w:ascii="宋体" w:hAnsi="宋体" w:eastAsia="宋体" w:cs="Times New Roman"/>
          <w:color w:val="auto"/>
          <w:kern w:val="2"/>
          <w:sz w:val="21"/>
          <w:szCs w:val="21"/>
          <w:highlight w:val="none"/>
          <w:lang w:val="en-US" w:eastAsia="zh-CN" w:bidi="ar-SA"/>
        </w:rPr>
        <w:t>（根据项目情况设置）</w:t>
      </w:r>
    </w:p>
    <w:p>
      <w:pPr>
        <w:pStyle w:val="2"/>
        <w:pageBreakBefore w:val="0"/>
        <w:numPr>
          <w:ilvl w:val="0"/>
          <w:numId w:val="0"/>
        </w:numPr>
        <w:kinsoku/>
        <w:overflowPunct/>
        <w:topLinePunct w:val="0"/>
        <w:bidi w:val="0"/>
        <w:adjustRightInd/>
        <w:snapToGrid/>
        <w:spacing w:line="5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）本工程所有的设备和材料所涉及的设计标准、规范，产品标准、规范，工程标准、规范，验收标准、规范等必须完全符合中华人民共和国及省、市相应的标准和规格。</w:t>
      </w:r>
    </w:p>
    <w:p>
      <w:pPr>
        <w:pStyle w:val="2"/>
        <w:pageBreakBefore w:val="0"/>
        <w:numPr>
          <w:ilvl w:val="0"/>
          <w:numId w:val="0"/>
        </w:numPr>
        <w:kinsoku/>
        <w:overflowPunct/>
        <w:topLinePunct w:val="0"/>
        <w:bidi w:val="0"/>
        <w:adjustRightInd/>
        <w:snapToGrid/>
        <w:spacing w:line="56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）工程验收需满足GB50210-2018《建筑装饰装修工程质量验收标准》、GB50303-2015《建筑电气工程施工质量验收规范》及GB50242-2022《建筑给排水及采暖工程施工质量验收规范》相关要求。</w:t>
      </w:r>
    </w:p>
    <w:p>
      <w:pPr>
        <w:pStyle w:val="2"/>
        <w:pageBreakBefore w:val="0"/>
        <w:kinsoku/>
        <w:overflowPunct/>
        <w:topLinePunct w:val="0"/>
        <w:bidi w:val="0"/>
        <w:adjustRightInd/>
        <w:snapToGrid/>
        <w:spacing w:line="56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三</w:t>
      </w:r>
      <w:r>
        <w:rPr>
          <w:rFonts w:hint="eastAsia" w:ascii="宋体" w:hAnsi="宋体" w:eastAsia="宋体" w:cs="宋体"/>
          <w:b/>
          <w:bCs/>
          <w:kern w:val="2"/>
          <w:sz w:val="21"/>
          <w:szCs w:val="21"/>
          <w:highlight w:val="none"/>
          <w:lang w:val="en-US" w:eastAsia="zh-CN" w:bidi="ar-SA"/>
        </w:rPr>
        <w:t>）付款方式：</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Arial"/>
          <w:color w:val="000000"/>
          <w:kern w:val="2"/>
          <w:sz w:val="21"/>
          <w:szCs w:val="21"/>
          <w:highlight w:val="none"/>
          <w:lang w:val="zh-CN" w:eastAsia="zh-CN" w:bidi="ar-SA"/>
        </w:rPr>
        <w:t>（1）签发开工令支付合同费用的30%；</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Arial"/>
          <w:color w:val="000000"/>
          <w:kern w:val="2"/>
          <w:sz w:val="21"/>
          <w:szCs w:val="21"/>
          <w:highlight w:val="none"/>
          <w:lang w:val="zh-CN" w:eastAsia="zh-CN" w:bidi="ar-SA"/>
        </w:rPr>
        <w:t>（2）工程通过竣工验收支付合同费用的60%；</w:t>
      </w:r>
    </w:p>
    <w:p>
      <w:pPr>
        <w:pStyle w:val="2"/>
        <w:pageBreakBefore w:val="0"/>
        <w:kinsoku/>
        <w:overflowPunct/>
        <w:topLinePunct w:val="0"/>
        <w:bidi w:val="0"/>
        <w:adjustRightInd/>
        <w:snapToGrid/>
        <w:spacing w:line="560" w:lineRule="exact"/>
        <w:ind w:firstLine="420" w:firstLineChars="200"/>
        <w:rPr>
          <w:rFonts w:hint="eastAsia" w:ascii="宋体" w:hAnsi="宋体" w:eastAsia="宋体" w:cs="Arial"/>
          <w:color w:val="000000"/>
          <w:kern w:val="2"/>
          <w:sz w:val="21"/>
          <w:szCs w:val="21"/>
          <w:highlight w:val="none"/>
          <w:lang w:val="zh-CN" w:eastAsia="zh-CN" w:bidi="ar-SA"/>
        </w:rPr>
      </w:pPr>
      <w:r>
        <w:rPr>
          <w:rFonts w:hint="eastAsia" w:ascii="宋体" w:hAnsi="宋体" w:eastAsia="宋体" w:cs="Arial"/>
          <w:color w:val="000000"/>
          <w:kern w:val="2"/>
          <w:sz w:val="21"/>
          <w:szCs w:val="21"/>
          <w:highlight w:val="none"/>
          <w:lang w:val="zh-CN" w:eastAsia="zh-CN" w:bidi="ar-SA"/>
        </w:rPr>
        <w:t>（3）工程完成结算审定支付合同费用的10%。</w:t>
      </w:r>
    </w:p>
    <w:p>
      <w:pPr>
        <w:pageBreakBefore w:val="0"/>
        <w:kinsoku/>
        <w:overflowPunct/>
        <w:topLinePunct w:val="0"/>
        <w:bidi w:val="0"/>
        <w:adjustRightInd/>
        <w:snapToGrid/>
        <w:spacing w:line="560" w:lineRule="exact"/>
        <w:ind w:firstLine="420" w:firstLineChars="200"/>
        <w:jc w:val="left"/>
        <w:rPr>
          <w:rFonts w:hint="eastAsia" w:ascii="宋体" w:hAnsi="宋体" w:cs="Arial"/>
          <w:color w:val="000000"/>
          <w:szCs w:val="21"/>
          <w:highlight w:val="none"/>
          <w:lang w:val="zh-CN"/>
        </w:rPr>
      </w:pPr>
      <w:r>
        <w:rPr>
          <w:rFonts w:hint="eastAsia" w:ascii="宋体" w:hAnsi="宋体" w:cs="Arial"/>
          <w:color w:val="000000"/>
          <w:szCs w:val="21"/>
          <w:highlight w:val="none"/>
          <w:lang w:val="en-US" w:eastAsia="zh-CN"/>
        </w:rPr>
        <w:t>成交供应商</w:t>
      </w:r>
      <w:r>
        <w:rPr>
          <w:rFonts w:hint="eastAsia" w:ascii="宋体" w:hAnsi="宋体" w:cs="Arial"/>
          <w:color w:val="000000"/>
          <w:szCs w:val="21"/>
          <w:highlight w:val="none"/>
          <w:lang w:val="zh-CN"/>
        </w:rPr>
        <w:t>凭以下有效文件结算：</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000000"/>
          <w:szCs w:val="21"/>
          <w:highlight w:val="none"/>
          <w:lang w:val="zh-CN"/>
        </w:rPr>
      </w:pPr>
      <w:r>
        <w:rPr>
          <w:rFonts w:hint="eastAsia" w:ascii="宋体" w:hAnsi="宋体" w:cs="Arial"/>
          <w:color w:val="000000"/>
          <w:szCs w:val="21"/>
          <w:highlight w:val="none"/>
        </w:rPr>
        <w:t>1</w:t>
      </w:r>
      <w:r>
        <w:rPr>
          <w:rFonts w:hint="eastAsia" w:ascii="宋体" w:hAnsi="宋体" w:cs="Arial"/>
          <w:color w:val="000000"/>
          <w:szCs w:val="21"/>
          <w:highlight w:val="none"/>
          <w:lang w:val="zh-CN"/>
        </w:rPr>
        <w:t>）中标</w:t>
      </w:r>
      <w:r>
        <w:rPr>
          <w:rFonts w:hint="eastAsia" w:ascii="宋体" w:hAnsi="宋体" w:cs="Arial"/>
          <w:color w:val="000000"/>
          <w:szCs w:val="21"/>
          <w:highlight w:val="none"/>
          <w:lang w:val="en-US" w:eastAsia="zh-CN"/>
        </w:rPr>
        <w:t>/成交</w:t>
      </w:r>
      <w:r>
        <w:rPr>
          <w:rFonts w:hint="eastAsia" w:ascii="宋体" w:hAnsi="宋体" w:cs="Arial"/>
          <w:color w:val="000000"/>
          <w:szCs w:val="21"/>
          <w:highlight w:val="none"/>
          <w:lang w:val="zh-CN"/>
        </w:rPr>
        <w:t>通知书；</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2</w:t>
      </w:r>
      <w:r>
        <w:rPr>
          <w:rFonts w:hint="eastAsia" w:ascii="宋体" w:hAnsi="宋体" w:cs="Arial"/>
          <w:color w:val="auto"/>
          <w:szCs w:val="21"/>
          <w:highlight w:val="none"/>
          <w:lang w:val="zh-CN"/>
        </w:rPr>
        <w:t>）合同；</w:t>
      </w:r>
    </w:p>
    <w:p>
      <w:pPr>
        <w:keepNext w:val="0"/>
        <w:keepLines w:val="0"/>
        <w:pageBreakBefore w:val="0"/>
        <w:widowControl w:val="0"/>
        <w:kinsoku/>
        <w:wordWrap/>
        <w:overflowPunct/>
        <w:topLinePunct w:val="0"/>
        <w:autoSpaceDE/>
        <w:autoSpaceDN/>
        <w:bidi w:val="0"/>
        <w:adjustRightInd/>
        <w:snapToGrid/>
        <w:spacing w:line="500" w:lineRule="exact"/>
        <w:ind w:firstLine="630" w:firstLineChars="300"/>
        <w:jc w:val="left"/>
        <w:textAlignment w:val="auto"/>
        <w:rPr>
          <w:rFonts w:hint="eastAsia" w:ascii="宋体" w:hAnsi="宋体" w:cs="Arial"/>
          <w:color w:val="auto"/>
          <w:szCs w:val="21"/>
          <w:highlight w:val="none"/>
          <w:lang w:val="zh-CN"/>
        </w:rPr>
      </w:pPr>
      <w:r>
        <w:rPr>
          <w:rFonts w:hint="eastAsia" w:ascii="宋体" w:hAnsi="宋体" w:cs="Arial"/>
          <w:color w:val="auto"/>
          <w:szCs w:val="21"/>
          <w:highlight w:val="none"/>
        </w:rPr>
        <w:t>3</w:t>
      </w:r>
      <w:r>
        <w:rPr>
          <w:rFonts w:hint="eastAsia" w:ascii="宋体" w:hAnsi="宋体" w:cs="Arial"/>
          <w:color w:val="auto"/>
          <w:szCs w:val="21"/>
          <w:highlight w:val="none"/>
          <w:lang w:val="zh-CN"/>
        </w:rPr>
        <w:t>）成交供应商开具的正式发票；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lang w:val="en-US" w:eastAsia="zh-CN"/>
        </w:rPr>
      </w:pPr>
      <w:r>
        <w:rPr>
          <w:rFonts w:hint="eastAsia" w:ascii="宋体" w:hAnsi="宋体" w:cs="Arial"/>
          <w:color w:val="auto"/>
          <w:szCs w:val="21"/>
          <w:highlight w:val="none"/>
          <w:lang w:val="en-US" w:eastAsia="zh-CN"/>
        </w:rPr>
        <w:t xml:space="preserve">   </w:t>
      </w:r>
      <w:r>
        <w:rPr>
          <w:rFonts w:hint="eastAsia" w:ascii="宋体" w:hAnsi="宋体" w:eastAsia="宋体" w:cs="Arial"/>
          <w:color w:val="auto"/>
          <w:kern w:val="2"/>
          <w:sz w:val="21"/>
          <w:szCs w:val="21"/>
          <w:highlight w:val="none"/>
          <w:lang w:val="en-US" w:eastAsia="zh-CN" w:bidi="ar-SA"/>
        </w:rPr>
        <w:t xml:space="preserve">   4）请款函</w:t>
      </w:r>
    </w:p>
    <w:p>
      <w:pPr>
        <w:widowControl/>
        <w:spacing w:line="560" w:lineRule="exact"/>
        <w:ind w:firstLine="422" w:firstLineChars="200"/>
        <w:textAlignment w:val="center"/>
        <w:rPr>
          <w:ins w:id="1" w:author="唐娅妮" w:date="2024-04-10T17:34:35Z"/>
          <w:rFonts w:hint="eastAsia" w:ascii="宋体" w:hAnsi="宋体" w:cs="宋体"/>
          <w:b/>
          <w:bCs/>
          <w:color w:val="000000"/>
          <w:highlight w:val="none"/>
          <w:lang w:val="en-US" w:eastAsia="zh-CN"/>
        </w:rPr>
      </w:pPr>
      <w:r>
        <w:rPr>
          <w:rFonts w:hint="eastAsia" w:ascii="宋体" w:hAnsi="宋体" w:cs="宋体"/>
          <w:b/>
          <w:bCs/>
          <w:color w:val="000000"/>
          <w:highlight w:val="none"/>
          <w:lang w:val="en-US" w:eastAsia="zh-CN"/>
        </w:rPr>
        <w:t>注：具体支付情况以财政资金到位情况为准进行支付。</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）履约质保金：</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1.合同签订后</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个工作日内，供应商须向采购单位支付中标合同总价</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%的合同履约保证金</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履约保证金</w:t>
      </w:r>
      <w:r>
        <w:rPr>
          <w:rFonts w:hint="eastAsia" w:ascii="宋体" w:hAnsi="宋体" w:cs="宋体"/>
          <w:szCs w:val="21"/>
          <w:highlight w:val="none"/>
          <w:lang w:val="en-US" w:eastAsia="zh-CN"/>
        </w:rPr>
        <w:t>可</w:t>
      </w:r>
      <w:r>
        <w:rPr>
          <w:rFonts w:hint="eastAsia" w:ascii="宋体" w:hAnsi="宋体" w:eastAsia="宋体" w:cs="宋体"/>
          <w:szCs w:val="21"/>
          <w:highlight w:val="none"/>
          <w:lang w:val="en-US" w:eastAsia="zh-CN"/>
        </w:rPr>
        <w:t>以银行转账、支票、汇票、本票或者金融机构、担保机构出具的保函等非现金形式提交。履约保证金以银行转账方式提交</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在供应商完成其合同义务，包括任何保证义务后30日内，采购单位一次性无息退还保证金</w:t>
      </w:r>
      <w:r>
        <w:rPr>
          <w:rFonts w:hint="eastAsia" w:ascii="宋体" w:hAnsi="宋体" w:cs="宋体"/>
          <w:szCs w:val="21"/>
          <w:highlight w:val="none"/>
          <w:lang w:val="en-US" w:eastAsia="zh-CN"/>
        </w:rPr>
        <w:t>，如逾期返还的，应当自逾期之日起按照银行同期同类存款利率支付利息</w:t>
      </w:r>
      <w:r>
        <w:rPr>
          <w:rFonts w:hint="eastAsia" w:ascii="宋体" w:hAnsi="宋体" w:eastAsia="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outlineLvl w:val="9"/>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2.供应商未认真履行合同造成不良影响的，采购单位将</w:t>
      </w:r>
      <w:r>
        <w:rPr>
          <w:rFonts w:hint="eastAsia" w:ascii="宋体" w:hAnsi="宋体" w:cs="宋体"/>
          <w:szCs w:val="21"/>
          <w:highlight w:val="none"/>
          <w:lang w:val="en-US" w:eastAsia="zh-CN"/>
        </w:rPr>
        <w:t>按约定</w:t>
      </w:r>
      <w:r>
        <w:rPr>
          <w:rFonts w:hint="eastAsia" w:ascii="宋体" w:hAnsi="宋体" w:eastAsia="宋体" w:cs="宋体"/>
          <w:szCs w:val="21"/>
          <w:highlight w:val="none"/>
          <w:lang w:val="en-US" w:eastAsia="zh-CN"/>
        </w:rPr>
        <w:t>扣除履约保证金</w:t>
      </w:r>
      <w:r>
        <w:rPr>
          <w:rFonts w:hint="eastAsia" w:ascii="宋体" w:hAnsi="宋体" w:cs="宋体"/>
          <w:szCs w:val="21"/>
          <w:highlight w:val="none"/>
          <w:lang w:val="en-US" w:eastAsia="zh-CN"/>
        </w:rPr>
        <w:t>，具体情形如下：</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1）</w:t>
      </w:r>
      <w:r>
        <w:t>发生以下情形之一、经调查属实的，每次扣除10%履约保证金</w:t>
      </w:r>
      <w:r>
        <w:rPr>
          <w:rFonts w:hint="eastAsia"/>
          <w:lang w:eastAsia="zh-CN"/>
        </w:rPr>
        <w:t>，签订合同后一周内未进场、未按要求报送工程前期资料（开工报告、施工机具检验报告等）；</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2）</w:t>
      </w:r>
      <w:r>
        <w:t>发生以下情形之一、经调查属实的，每次扣除</w:t>
      </w:r>
      <w:r>
        <w:rPr>
          <w:rFonts w:hint="eastAsia"/>
          <w:lang w:val="en-US" w:eastAsia="zh-CN"/>
        </w:rPr>
        <w:t>2</w:t>
      </w:r>
      <w:r>
        <w:t>0%履约保证金</w:t>
      </w:r>
      <w:r>
        <w:rPr>
          <w:rFonts w:hint="eastAsia"/>
          <w:lang w:eastAsia="zh-CN"/>
        </w:rPr>
        <w:t>，涉及隐蔽工程的施工工序未提前报告采购人、施工过程中发现的质量问题经多次提醒未及时整改；</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lang w:val="en-US" w:eastAsia="zh-CN"/>
        </w:rPr>
      </w:pPr>
      <w:r>
        <w:rPr>
          <w:rFonts w:hint="eastAsia"/>
          <w:lang w:val="en-US" w:eastAsia="zh-CN"/>
        </w:rPr>
        <w:t>3）</w:t>
      </w:r>
      <w:r>
        <w:t>发生以下情形之一、经调查属实的，每次扣除</w:t>
      </w:r>
      <w:r>
        <w:rPr>
          <w:rFonts w:hint="eastAsia"/>
          <w:lang w:val="en-US" w:eastAsia="zh-CN"/>
        </w:rPr>
        <w:t>50</w:t>
      </w:r>
      <w:r>
        <w:t>%履约保证金</w:t>
      </w:r>
      <w:r>
        <w:rPr>
          <w:rFonts w:hint="eastAsia"/>
          <w:lang w:eastAsia="zh-CN"/>
        </w:rPr>
        <w:t>，施工过程中因存在扰民等问题被周边住户多次投诉或被相关管理部门警告、存在拖欠工人工资且出现工人上访的情况；</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default"/>
          <w:lang w:val="en-US" w:eastAsia="zh-CN"/>
        </w:rPr>
      </w:pPr>
      <w:r>
        <w:rPr>
          <w:rFonts w:hint="eastAsia"/>
          <w:lang w:val="en-US" w:eastAsia="zh-CN"/>
        </w:rPr>
        <w:t>4）</w:t>
      </w:r>
      <w:r>
        <w:t>发生以下情形之一、经调查属实的，每次扣除</w:t>
      </w:r>
      <w:r>
        <w:rPr>
          <w:rFonts w:hint="eastAsia"/>
          <w:lang w:val="en-US" w:eastAsia="zh-CN"/>
        </w:rPr>
        <w:t>100</w:t>
      </w:r>
      <w:r>
        <w:t>%履约保证金</w:t>
      </w:r>
      <w:r>
        <w:rPr>
          <w:rFonts w:hint="eastAsia"/>
          <w:lang w:eastAsia="zh-CN"/>
        </w:rPr>
        <w:t>，</w:t>
      </w:r>
      <w:r>
        <w:rPr>
          <w:rFonts w:hint="eastAsia"/>
          <w:lang w:val="en-US" w:eastAsia="zh-CN"/>
        </w:rPr>
        <w:t>并有权解除合同，承包人单方面要求终止合同、违反采购人监管安全等相关规定、因承包人管理不当造成采购人重大财产损失或出现人员伤亡事故。</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00" w:firstLineChars="200"/>
        <w:outlineLvl w:val="9"/>
        <w:rPr>
          <w:rFonts w:hint="eastAsia" w:ascii="宋体" w:hAnsi="宋体" w:eastAsia="宋体" w:cs="宋体"/>
          <w:b/>
          <w:bCs/>
          <w:kern w:val="2"/>
          <w:sz w:val="20"/>
          <w:szCs w:val="20"/>
          <w:highlight w:val="none"/>
          <w:lang w:val="en-US" w:eastAsia="zh-CN" w:bidi="ar-SA"/>
        </w:rPr>
      </w:pPr>
      <w:r>
        <w:rPr>
          <w:rFonts w:hint="eastAsia"/>
          <w:sz w:val="20"/>
          <w:szCs w:val="20"/>
          <w:lang w:val="en-US" w:eastAsia="zh-CN"/>
        </w:rPr>
        <w:t>累计扣除履约保证金达到100%的，采购人有权单方面解除合同。</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422" w:firstLineChars="200"/>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五</w:t>
      </w:r>
      <w:r>
        <w:rPr>
          <w:rFonts w:hint="eastAsia" w:ascii="宋体" w:hAnsi="宋体" w:eastAsia="宋体" w:cs="宋体"/>
          <w:b/>
          <w:bCs/>
          <w:kern w:val="2"/>
          <w:sz w:val="21"/>
          <w:szCs w:val="21"/>
          <w:highlight w:val="none"/>
          <w:lang w:val="en-US" w:eastAsia="zh-CN" w:bidi="ar-SA"/>
        </w:rPr>
        <w:t>）其他要求：</w:t>
      </w:r>
    </w:p>
    <w:p>
      <w:pPr>
        <w:pStyle w:val="2"/>
        <w:keepNext w:val="0"/>
        <w:keepLines w:val="0"/>
        <w:pageBreakBefore w:val="0"/>
        <w:kinsoku/>
        <w:wordWrap/>
        <w:overflowPunct/>
        <w:topLinePunct w:val="0"/>
        <w:autoSpaceDE/>
        <w:autoSpaceDN/>
        <w:bidi w:val="0"/>
        <w:adjustRightInd/>
        <w:snapToGrid/>
        <w:spacing w:line="520" w:lineRule="exact"/>
        <w:ind w:firstLine="400" w:firstLineChars="200"/>
        <w:rPr>
          <w:rFonts w:hint="eastAsia" w:ascii="宋体" w:hAnsi="宋体" w:eastAsia="宋体" w:cs="宋体"/>
          <w:color w:val="auto"/>
          <w:kern w:val="2"/>
          <w:sz w:val="21"/>
          <w:szCs w:val="21"/>
          <w:highlight w:val="none"/>
          <w:lang w:val="en-US" w:eastAsia="zh-CN"/>
        </w:rPr>
      </w:pPr>
      <w:r>
        <w:rPr>
          <w:rFonts w:hint="eastAsia" w:ascii="宋体" w:hAnsi="宋体" w:cs="宋体"/>
          <w:highlight w:val="none"/>
          <w:lang w:val="en-US" w:eastAsia="zh-CN"/>
        </w:rPr>
        <w:t>1.</w:t>
      </w:r>
      <w:r>
        <w:rPr>
          <w:rFonts w:hint="eastAsia" w:ascii="宋体" w:hAnsi="宋体" w:eastAsia="宋体" w:cs="宋体"/>
          <w:color w:val="auto"/>
          <w:kern w:val="2"/>
          <w:sz w:val="21"/>
          <w:szCs w:val="21"/>
          <w:highlight w:val="none"/>
          <w:lang w:val="en-US" w:eastAsia="zh-CN"/>
        </w:rPr>
        <w:t>成交供应商需承担合同履行时所要尽的一切保密义务。对项目实施过程中的资料、数据及采购人相关工作秘密进行保密，未经采购人书面同意不得泄露，且保密责任不因合同的中止或解除而失效。如因供应商及项目相关人员涉密对采购人造成影响，采购人有权追究责任。</w:t>
      </w:r>
    </w:p>
    <w:p>
      <w:pPr>
        <w:pStyle w:val="2"/>
        <w:pageBreakBefore w:val="0"/>
        <w:kinsoku/>
        <w:wordWrap/>
        <w:overflowPunct/>
        <w:topLinePunct w:val="0"/>
        <w:bidi w:val="0"/>
        <w:adjustRightInd/>
        <w:snapToGrid/>
        <w:spacing w:line="52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2.外来</w:t>
      </w:r>
      <w:r>
        <w:rPr>
          <w:rFonts w:hint="eastAsia" w:ascii="宋体" w:hAnsi="宋体" w:eastAsia="宋体" w:cs="宋体"/>
          <w:b w:val="0"/>
          <w:bCs w:val="0"/>
          <w:kern w:val="2"/>
          <w:sz w:val="21"/>
          <w:szCs w:val="21"/>
          <w:highlight w:val="none"/>
          <w:lang w:val="en-US" w:eastAsia="zh-CN" w:bidi="ar-SA"/>
        </w:rPr>
        <w:t>人员</w:t>
      </w:r>
      <w:r>
        <w:rPr>
          <w:rFonts w:hint="eastAsia" w:ascii="宋体" w:hAnsi="宋体" w:cs="宋体"/>
          <w:b w:val="0"/>
          <w:bCs w:val="0"/>
          <w:kern w:val="2"/>
          <w:sz w:val="21"/>
          <w:szCs w:val="21"/>
          <w:highlight w:val="none"/>
          <w:lang w:val="en-US" w:eastAsia="zh-CN" w:bidi="ar-SA"/>
        </w:rPr>
        <w:t>必须按采购人管理要求</w:t>
      </w:r>
      <w:r>
        <w:rPr>
          <w:rFonts w:hint="eastAsia" w:ascii="宋体" w:hAnsi="宋体" w:eastAsia="宋体" w:cs="宋体"/>
          <w:b w:val="0"/>
          <w:bCs w:val="0"/>
          <w:kern w:val="2"/>
          <w:sz w:val="21"/>
          <w:szCs w:val="21"/>
          <w:highlight w:val="none"/>
          <w:lang w:val="en-US" w:eastAsia="zh-CN" w:bidi="ar-SA"/>
        </w:rPr>
        <w:t>进出监管区</w:t>
      </w:r>
      <w:r>
        <w:rPr>
          <w:rFonts w:hint="eastAsia" w:ascii="宋体" w:hAnsi="宋体" w:cs="宋体"/>
          <w:b w:val="0"/>
          <w:bCs w:val="0"/>
          <w:kern w:val="2"/>
          <w:sz w:val="21"/>
          <w:szCs w:val="21"/>
          <w:highlight w:val="none"/>
          <w:lang w:val="en-US" w:eastAsia="zh-CN" w:bidi="ar-SA"/>
        </w:rPr>
        <w:t>，详见附件。</w:t>
      </w:r>
    </w:p>
    <w:p>
      <w:pPr>
        <w:pStyle w:val="2"/>
        <w:keepNext w:val="0"/>
        <w:keepLines w:val="0"/>
        <w:pageBreakBefore w:val="0"/>
        <w:kinsoku/>
        <w:wordWrap/>
        <w:overflowPunct/>
        <w:topLinePunct w:val="0"/>
        <w:autoSpaceDE/>
        <w:autoSpaceDN/>
        <w:bidi w:val="0"/>
        <w:adjustRightInd/>
        <w:snapToGrid/>
        <w:spacing w:line="520" w:lineRule="exact"/>
        <w:ind w:firstLine="420" w:firstLineChars="200"/>
        <w:rPr>
          <w:rFonts w:hint="eastAsia" w:ascii="宋体" w:hAnsi="宋体" w:eastAsia="宋体" w:cs="Arial"/>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w:t>
      </w:r>
      <w:r>
        <w:rPr>
          <w:rFonts w:hint="eastAsia" w:ascii="宋体" w:hAnsi="宋体" w:cs="宋体"/>
          <w:sz w:val="21"/>
          <w:szCs w:val="21"/>
          <w:highlight w:val="none"/>
        </w:rPr>
        <w:t>其余未尽事项由采购人和</w:t>
      </w:r>
      <w:r>
        <w:rPr>
          <w:rFonts w:hint="eastAsia" w:ascii="宋体" w:hAnsi="宋体" w:cs="宋体"/>
          <w:sz w:val="21"/>
          <w:szCs w:val="21"/>
          <w:highlight w:val="none"/>
          <w:lang w:eastAsia="zh-CN"/>
        </w:rPr>
        <w:t>成交</w:t>
      </w:r>
      <w:r>
        <w:rPr>
          <w:rFonts w:hint="eastAsia" w:ascii="宋体" w:hAnsi="宋体" w:cs="宋体"/>
          <w:color w:val="auto"/>
          <w:kern w:val="2"/>
          <w:sz w:val="21"/>
          <w:szCs w:val="21"/>
          <w:highlight w:val="none"/>
          <w:lang w:val="en-US" w:eastAsia="zh-CN"/>
        </w:rPr>
        <w:t>供应商</w:t>
      </w:r>
      <w:r>
        <w:rPr>
          <w:rFonts w:hint="eastAsia" w:ascii="宋体" w:hAnsi="宋体" w:cs="宋体"/>
          <w:sz w:val="21"/>
          <w:szCs w:val="21"/>
          <w:highlight w:val="none"/>
        </w:rPr>
        <w:t>另行商定补充。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outlineLvl w:val="9"/>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五、项目联系人和联系方式</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 系 人：</w:t>
      </w:r>
      <w:r>
        <w:rPr>
          <w:rFonts w:hint="eastAsia" w:ascii="宋体" w:hAnsi="宋体" w:cs="宋体"/>
          <w:b w:val="0"/>
          <w:bCs w:val="0"/>
          <w:kern w:val="2"/>
          <w:sz w:val="21"/>
          <w:szCs w:val="21"/>
          <w:highlight w:val="none"/>
          <w:lang w:val="en-US" w:eastAsia="zh-CN" w:bidi="ar-SA"/>
        </w:rPr>
        <w:t>李工</w:t>
      </w:r>
    </w:p>
    <w:p>
      <w:pPr>
        <w:pStyle w:val="4"/>
        <w:keepNext w:val="0"/>
        <w:keepLines w:val="0"/>
        <w:pageBreakBefore w:val="0"/>
        <w:numPr>
          <w:ilvl w:val="0"/>
          <w:numId w:val="0"/>
        </w:numPr>
        <w:kinsoku/>
        <w:wordWrap/>
        <w:overflowPunct/>
        <w:topLinePunct w:val="0"/>
        <w:autoSpaceDE/>
        <w:autoSpaceDN/>
        <w:bidi w:val="0"/>
        <w:adjustRightInd/>
        <w:snapToGrid/>
        <w:spacing w:line="560" w:lineRule="exact"/>
        <w:ind w:firstLine="630" w:firstLineChars="300"/>
        <w:outlineLvl w:val="9"/>
        <w:rPr>
          <w:rFonts w:hint="default" w:ascii="宋体" w:hAnsi="宋体" w:cs="宋体"/>
          <w:b w:val="0"/>
          <w:bCs w:val="0"/>
          <w:color w:val="FF000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联系电话：0751-55804</w:t>
      </w:r>
      <w:r>
        <w:rPr>
          <w:rFonts w:hint="eastAsia" w:ascii="宋体" w:hAnsi="宋体" w:cs="宋体"/>
          <w:b w:val="0"/>
          <w:bCs w:val="0"/>
          <w:kern w:val="2"/>
          <w:sz w:val="21"/>
          <w:szCs w:val="21"/>
          <w:highlight w:val="none"/>
          <w:lang w:val="en-US" w:eastAsia="zh-CN" w:bidi="ar-SA"/>
        </w:rPr>
        <w:t>17</w:t>
      </w:r>
    </w:p>
    <w:p>
      <w:pPr>
        <w:pStyle w:val="2"/>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cs="宋体"/>
          <w:b w:val="0"/>
          <w:bCs w:val="0"/>
          <w:color w:val="FF0000"/>
          <w:kern w:val="2"/>
          <w:sz w:val="21"/>
          <w:szCs w:val="21"/>
          <w:highlight w:val="none"/>
          <w:lang w:val="en-US" w:eastAsia="zh-CN" w:bidi="ar-SA"/>
        </w:rPr>
      </w:pPr>
      <w:r>
        <w:rPr>
          <w:rFonts w:hint="eastAsia" w:ascii="宋体" w:hAnsi="宋体" w:cs="宋体"/>
          <w:b w:val="0"/>
          <w:bCs w:val="0"/>
          <w:color w:val="FF0000"/>
          <w:kern w:val="2"/>
          <w:sz w:val="21"/>
          <w:szCs w:val="21"/>
          <w:highlight w:val="none"/>
          <w:lang w:val="en-US" w:eastAsia="zh-CN" w:bidi="ar-SA"/>
        </w:rPr>
        <w:t xml:space="preserve">      监督部门与电话：纪检与审计科 </w:t>
      </w:r>
      <w:r>
        <w:rPr>
          <w:rFonts w:hint="eastAsia" w:ascii="宋体" w:hAnsi="宋体" w:eastAsia="宋体" w:cs="宋体"/>
          <w:b w:val="0"/>
          <w:bCs w:val="0"/>
          <w:kern w:val="2"/>
          <w:sz w:val="21"/>
          <w:szCs w:val="21"/>
          <w:highlight w:val="none"/>
          <w:lang w:val="en-US" w:eastAsia="zh-CN" w:bidi="ar-SA"/>
        </w:rPr>
        <w:t>0751-5580431</w:t>
      </w: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rPr>
          <w:rFonts w:hint="eastAsia" w:ascii="宋体" w:hAnsi="宋体" w:cs="宋体"/>
          <w:b w:val="0"/>
          <w:bCs w:val="0"/>
          <w:color w:val="FF0000"/>
          <w:kern w:val="2"/>
          <w:sz w:val="21"/>
          <w:szCs w:val="21"/>
          <w:highlight w:val="none"/>
          <w:lang w:val="en-US" w:eastAsia="zh-CN" w:bidi="ar-SA"/>
        </w:rPr>
      </w:pPr>
    </w:p>
    <w:p>
      <w:pPr>
        <w:pStyle w:val="2"/>
        <w:pageBreakBefore w:val="0"/>
        <w:kinsoku/>
        <w:overflowPunct/>
        <w:topLinePunct w:val="0"/>
        <w:bidi w:val="0"/>
        <w:adjustRightInd/>
        <w:snapToGrid/>
        <w:spacing w:line="560" w:lineRule="exact"/>
        <w:jc w:val="right"/>
        <w:rPr>
          <w:rFonts w:hint="eastAsia" w:ascii="宋体" w:hAnsi="宋体" w:cs="宋体"/>
          <w:b w:val="0"/>
          <w:bCs w:val="0"/>
          <w:color w:val="FF0000"/>
          <w:kern w:val="2"/>
          <w:sz w:val="21"/>
          <w:szCs w:val="21"/>
          <w:highlight w:val="none"/>
          <w:lang w:val="en-US" w:eastAsia="zh-CN" w:bidi="ar-SA"/>
        </w:rPr>
      </w:pPr>
    </w:p>
    <w:p>
      <w:pPr>
        <w:pageBreakBefore w:val="0"/>
        <w:kinsoku/>
        <w:wordWrap w:val="0"/>
        <w:overflowPunct/>
        <w:topLinePunct w:val="0"/>
        <w:bidi w:val="0"/>
        <w:adjustRightInd/>
        <w:snapToGrid/>
        <w:spacing w:line="560" w:lineRule="exact"/>
        <w:ind w:right="140"/>
        <w:jc w:val="right"/>
        <w:rPr>
          <w:rFonts w:hint="default" w:asciiTheme="minorEastAsia" w:hAnsiTheme="minorEastAsia" w:eastAsiaTheme="minorEastAsia"/>
          <w:color w:val="000000" w:themeColor="text1"/>
          <w:sz w:val="28"/>
          <w:szCs w:val="28"/>
          <w:highlight w:val="none"/>
          <w:u w:val="single"/>
          <w:lang w:val="en-US"/>
          <w14:textFill>
            <w14:solidFill>
              <w14:schemeClr w14:val="tx1"/>
            </w14:solidFill>
          </w14:textFill>
        </w:rPr>
      </w:pPr>
      <w:r>
        <w:rPr>
          <w:rFonts w:hint="eastAsia" w:asciiTheme="minorEastAsia" w:hAnsiTheme="minorEastAsia" w:eastAsiaTheme="minorEastAsia"/>
          <w:sz w:val="28"/>
          <w:szCs w:val="28"/>
          <w:highlight w:val="none"/>
          <w:lang w:val="en-US" w:eastAsia="zh-CN"/>
        </w:rPr>
        <w:t xml:space="preserve">  广东省乐昌监狱  </w:t>
      </w:r>
    </w:p>
    <w:p>
      <w:pPr>
        <w:pStyle w:val="11"/>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auto"/>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2024</w:t>
      </w:r>
      <w:r>
        <w:rPr>
          <w:rFonts w:hint="eastAsia" w:asciiTheme="minorEastAsia" w:hAnsiTheme="minorEastAsia" w:eastAsiaTheme="minorEastAsia"/>
          <w:color w:val="000000" w:themeColor="text1"/>
          <w:sz w:val="28"/>
          <w:szCs w:val="28"/>
          <w:highlight w:val="none"/>
          <w14:textFill>
            <w14:solidFill>
              <w14:schemeClr w14:val="tx1"/>
            </w14:solidFill>
          </w14:textFill>
        </w:rPr>
        <w:t xml:space="preserve"> 年</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10</w:t>
      </w:r>
      <w:r>
        <w:rPr>
          <w:rFonts w:hint="eastAsia" w:asciiTheme="minorEastAsia" w:hAnsiTheme="minorEastAsia" w:eastAsia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 xml:space="preserve"> 24</w:t>
      </w:r>
      <w:bookmarkStart w:id="3" w:name="_GoBack"/>
      <w:bookmarkEnd w:id="3"/>
      <w:r>
        <w:rPr>
          <w:rFonts w:hint="eastAsia" w:asciiTheme="minorEastAsia" w:hAnsiTheme="minorEastAsia" w:eastAsiaTheme="minorEastAsia"/>
          <w:color w:val="000000" w:themeColor="text1"/>
          <w:sz w:val="28"/>
          <w:szCs w:val="28"/>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FBF3"/>
    <w:multiLevelType w:val="singleLevel"/>
    <w:tmpl w:val="0226FBF3"/>
    <w:lvl w:ilvl="0" w:tentative="0">
      <w:start w:val="2"/>
      <w:numFmt w:val="chineseCounting"/>
      <w:suff w:val="nothing"/>
      <w:lvlText w:val="（%1）"/>
      <w:lvlJc w:val="left"/>
      <w:rPr>
        <w:rFonts w:hint="eastAsia"/>
      </w:rPr>
    </w:lvl>
  </w:abstractNum>
  <w:abstractNum w:abstractNumId="1">
    <w:nsid w:val="6E7651A4"/>
    <w:multiLevelType w:val="singleLevel"/>
    <w:tmpl w:val="6E7651A4"/>
    <w:lvl w:ilvl="0" w:tentative="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娅妮">
    <w15:presenceInfo w15:providerId="None" w15:userId="唐娅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6C5B20C1"/>
    <w:rsid w:val="00B86929"/>
    <w:rsid w:val="00E94CFD"/>
    <w:rsid w:val="046E44F6"/>
    <w:rsid w:val="05F926BF"/>
    <w:rsid w:val="062E6539"/>
    <w:rsid w:val="0A1078D8"/>
    <w:rsid w:val="0BE55DB4"/>
    <w:rsid w:val="0E027B8D"/>
    <w:rsid w:val="0FC0778A"/>
    <w:rsid w:val="100B501F"/>
    <w:rsid w:val="10134B96"/>
    <w:rsid w:val="11331F9E"/>
    <w:rsid w:val="11955A19"/>
    <w:rsid w:val="11D009C0"/>
    <w:rsid w:val="1C251ED6"/>
    <w:rsid w:val="1E127CB1"/>
    <w:rsid w:val="1EE51E25"/>
    <w:rsid w:val="21FC2304"/>
    <w:rsid w:val="25971CCD"/>
    <w:rsid w:val="28D03990"/>
    <w:rsid w:val="2B151B78"/>
    <w:rsid w:val="2B812A27"/>
    <w:rsid w:val="2BE42451"/>
    <w:rsid w:val="2CDA1DAB"/>
    <w:rsid w:val="2E6615AE"/>
    <w:rsid w:val="332B24AF"/>
    <w:rsid w:val="3640126F"/>
    <w:rsid w:val="38D27B2A"/>
    <w:rsid w:val="3BCF02D1"/>
    <w:rsid w:val="3FD44C79"/>
    <w:rsid w:val="3FEF7759"/>
    <w:rsid w:val="40BE5CFD"/>
    <w:rsid w:val="41E87C64"/>
    <w:rsid w:val="44DD36E6"/>
    <w:rsid w:val="4A943C7C"/>
    <w:rsid w:val="510365AB"/>
    <w:rsid w:val="534B6AE2"/>
    <w:rsid w:val="535B05EF"/>
    <w:rsid w:val="5433262B"/>
    <w:rsid w:val="54553077"/>
    <w:rsid w:val="549F3BB6"/>
    <w:rsid w:val="56990A12"/>
    <w:rsid w:val="58235FF4"/>
    <w:rsid w:val="5C9F22D0"/>
    <w:rsid w:val="609B5F7D"/>
    <w:rsid w:val="610E11DF"/>
    <w:rsid w:val="62546755"/>
    <w:rsid w:val="63A702B0"/>
    <w:rsid w:val="65AA0211"/>
    <w:rsid w:val="6C5B20C1"/>
    <w:rsid w:val="6DEE203E"/>
    <w:rsid w:val="6F557C0E"/>
    <w:rsid w:val="70CC2F86"/>
    <w:rsid w:val="70D907DA"/>
    <w:rsid w:val="73E0418E"/>
    <w:rsid w:val="742266BC"/>
    <w:rsid w:val="77357F42"/>
    <w:rsid w:val="79B35A49"/>
    <w:rsid w:val="79CE245F"/>
    <w:rsid w:val="7A371244"/>
    <w:rsid w:val="7DD8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kern w:val="0"/>
      <w:sz w:val="20"/>
      <w:szCs w:val="24"/>
    </w:rPr>
  </w:style>
  <w:style w:type="paragraph" w:styleId="4">
    <w:name w:val="Normal Indent"/>
    <w:basedOn w:val="1"/>
    <w:qFormat/>
    <w:uiPriority w:val="0"/>
    <w:pPr>
      <w:ind w:firstLine="420" w:firstLineChars="200"/>
    </w:pPr>
    <w:rPr>
      <w:szCs w:val="21"/>
    </w:rPr>
  </w:style>
  <w:style w:type="paragraph" w:styleId="5">
    <w:name w:val="Body Text"/>
    <w:basedOn w:val="1"/>
    <w:next w:val="6"/>
    <w:qFormat/>
    <w:uiPriority w:val="0"/>
    <w:pPr>
      <w:spacing w:line="360" w:lineRule="auto"/>
    </w:pPr>
    <w:rPr>
      <w:rFonts w:ascii="黑体"/>
      <w:kern w:val="0"/>
      <w:sz w:val="24"/>
    </w:rPr>
  </w:style>
  <w:style w:type="paragraph" w:customStyle="1" w:styleId="6">
    <w:name w:val="正文0"/>
    <w:basedOn w:val="1"/>
    <w:qFormat/>
    <w:uiPriority w:val="0"/>
    <w:rPr>
      <w:szCs w:val="24"/>
    </w:rPr>
  </w:style>
  <w:style w:type="paragraph" w:styleId="7">
    <w:name w:val="toc 1"/>
    <w:basedOn w:val="1"/>
    <w:next w:val="1"/>
    <w:unhideWhenUsed/>
    <w:qFormat/>
    <w:uiPriority w:val="39"/>
    <w:pPr>
      <w:spacing w:line="400" w:lineRule="exact"/>
      <w:jc w:val="center"/>
    </w:pPr>
    <w:rPr>
      <w:rFonts w:ascii="宋体" w:hAnsi="宋体" w:cs="宋体"/>
      <w:b/>
      <w:bCs/>
    </w:rPr>
  </w:style>
  <w:style w:type="paragraph" w:styleId="8">
    <w:name w:val="Body Text First Indent"/>
    <w:basedOn w:val="5"/>
    <w:next w:val="1"/>
    <w:qFormat/>
    <w:uiPriority w:val="0"/>
    <w:pPr>
      <w:widowControl/>
      <w:ind w:firstLine="420" w:firstLineChars="100"/>
      <w:jc w:val="left"/>
    </w:pPr>
    <w:rPr>
      <w:rFonts w:ascii="Times New Roman"/>
      <w:sz w:val="21"/>
    </w:rPr>
  </w:style>
  <w:style w:type="paragraph" w:customStyle="1" w:styleId="1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character" w:customStyle="1" w:styleId="12">
    <w:name w:val="NormalCharacter"/>
    <w:qFormat/>
    <w:uiPriority w:val="0"/>
  </w:style>
  <w:style w:type="paragraph" w:customStyle="1" w:styleId="13">
    <w:name w:val="UserStyle_0"/>
    <w:basedOn w:val="14"/>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14">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15">
    <w:name w:val="Table Paragraph"/>
    <w:basedOn w:val="1"/>
    <w:qFormat/>
    <w:uiPriority w:val="0"/>
    <w:rPr>
      <w:rFonts w:cs="宋体"/>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3339</Words>
  <Characters>3417</Characters>
  <Lines>0</Lines>
  <Paragraphs>0</Paragraphs>
  <TotalTime>1</TotalTime>
  <ScaleCrop>false</ScaleCrop>
  <LinksUpToDate>false</LinksUpToDate>
  <CharactersWithSpaces>3419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2023-08-08T02:44:00Z</dcterms:created>
  <dc:creator>hx666</dc:creator>
  <cp:lastModifiedBy>LHX</cp:lastModifiedBy>
  <cp:lastPrinted>2023-09-04T08:12:00Z</cp:lastPrinted>
  <dcterms:modified xsi:type="dcterms:W3CDTF">2024-10-23T09:19:22Z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7A413D67F75D4F46B0B3332421FDDE35_11</vt:lpwstr>
  </property>
</Properties>
</file>